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5041" w14:textId="53467300" w:rsidR="00A47E51" w:rsidRDefault="00786805" w:rsidP="00DA058E">
      <w:pPr>
        <w:pStyle w:val="DocumentType"/>
      </w:pPr>
      <w:r>
        <w:t>Assessment Guidelines</w:t>
      </w:r>
    </w:p>
    <w:p w14:paraId="626187CC" w14:textId="4EB94AB7" w:rsidR="00A47E51" w:rsidRDefault="00786805" w:rsidP="00A47E51">
      <w:pPr>
        <w:pStyle w:val="Heading1"/>
      </w:pPr>
      <w:r>
        <w:t xml:space="preserve">Tasmanian Sporting Hall </w:t>
      </w:r>
      <w:r>
        <w:br/>
        <w:t>of Fame</w:t>
      </w:r>
    </w:p>
    <w:p w14:paraId="6EF03288" w14:textId="53F21795" w:rsidR="00786805" w:rsidRPr="00786805" w:rsidRDefault="00786805" w:rsidP="00786805">
      <w:pPr>
        <w:widowControl w:val="0"/>
        <w:overflowPunct w:val="0"/>
        <w:autoSpaceDE w:val="0"/>
        <w:autoSpaceDN w:val="0"/>
        <w:adjustRightInd w:val="0"/>
        <w:jc w:val="both"/>
        <w:rPr>
          <w:i/>
          <w:iCs/>
          <w:color w:val="2C6429" w:themeColor="text2" w:themeShade="80"/>
          <w:sz w:val="32"/>
        </w:rPr>
      </w:pPr>
      <w:r w:rsidRPr="00786805">
        <w:rPr>
          <w:i/>
          <w:iCs/>
          <w:color w:val="2C6429" w:themeColor="text2" w:themeShade="80"/>
          <w:sz w:val="32"/>
        </w:rPr>
        <w:t>This document outline</w:t>
      </w:r>
      <w:r w:rsidR="0012426C">
        <w:rPr>
          <w:i/>
          <w:iCs/>
          <w:color w:val="2C6429" w:themeColor="text2" w:themeShade="80"/>
          <w:sz w:val="32"/>
        </w:rPr>
        <w:t>s</w:t>
      </w:r>
      <w:r w:rsidRPr="00786805">
        <w:rPr>
          <w:i/>
          <w:iCs/>
          <w:color w:val="2C6429" w:themeColor="text2" w:themeShade="80"/>
          <w:sz w:val="32"/>
        </w:rPr>
        <w:t xml:space="preserve"> the administration and judging process of the Tasmanian Sporting Hall of Fame.</w:t>
      </w:r>
    </w:p>
    <w:p w14:paraId="382BC736" w14:textId="33C55187" w:rsidR="00786805" w:rsidRPr="00786805" w:rsidRDefault="00786805" w:rsidP="00786805">
      <w:pPr>
        <w:widowControl w:val="0"/>
        <w:overflowPunct w:val="0"/>
        <w:autoSpaceDE w:val="0"/>
        <w:autoSpaceDN w:val="0"/>
        <w:adjustRightInd w:val="0"/>
        <w:jc w:val="both"/>
        <w:rPr>
          <w:i/>
          <w:iCs/>
          <w:color w:val="2C6429" w:themeColor="text2" w:themeShade="80"/>
          <w:sz w:val="32"/>
        </w:rPr>
      </w:pPr>
      <w:r w:rsidRPr="00786805">
        <w:rPr>
          <w:i/>
          <w:iCs/>
          <w:color w:val="2C6429" w:themeColor="text2" w:themeShade="80"/>
          <w:sz w:val="32"/>
        </w:rPr>
        <w:t xml:space="preserve">The Tasmanian Sporting Hall of Fame is managed by the state government through </w:t>
      </w:r>
      <w:r w:rsidR="0014223E">
        <w:rPr>
          <w:i/>
          <w:iCs/>
          <w:color w:val="2C6429" w:themeColor="text2" w:themeShade="80"/>
          <w:sz w:val="32"/>
        </w:rPr>
        <w:t>Creative Industries, Sport and Visitor Economy</w:t>
      </w:r>
      <w:r w:rsidRPr="00786805">
        <w:rPr>
          <w:i/>
          <w:iCs/>
          <w:color w:val="2C6429" w:themeColor="text2" w:themeShade="80"/>
          <w:sz w:val="32"/>
        </w:rPr>
        <w:t>.</w:t>
      </w:r>
    </w:p>
    <w:p w14:paraId="0086940E" w14:textId="66580B09" w:rsidR="00786805" w:rsidRDefault="00786805" w:rsidP="00786805">
      <w:pPr>
        <w:pStyle w:val="Heading2"/>
        <w:rPr>
          <w:lang w:val="en-US"/>
        </w:rPr>
      </w:pPr>
      <w:r>
        <w:rPr>
          <w:lang w:val="en-US"/>
        </w:rPr>
        <w:t>Nominations</w:t>
      </w:r>
    </w:p>
    <w:p w14:paraId="5359AEBE" w14:textId="5AAC52A1" w:rsidR="00786805" w:rsidRPr="00786805" w:rsidRDefault="00786805" w:rsidP="001A59D0">
      <w:pPr>
        <w:widowControl w:val="0"/>
        <w:overflowPunct w:val="0"/>
        <w:autoSpaceDE w:val="0"/>
        <w:autoSpaceDN w:val="0"/>
        <w:adjustRightInd w:val="0"/>
        <w:spacing w:line="240" w:lineRule="auto"/>
        <w:jc w:val="both"/>
      </w:pPr>
      <w:r w:rsidRPr="00786805">
        <w:t xml:space="preserve">Nominations are sought from all Tasmanian sporting organisations and the </w:t>
      </w:r>
      <w:proofErr w:type="gramStart"/>
      <w:r w:rsidRPr="00786805">
        <w:t>general public</w:t>
      </w:r>
      <w:proofErr w:type="gramEnd"/>
      <w:r w:rsidRPr="00786805">
        <w:t xml:space="preserve"> for inductions once a year.</w:t>
      </w:r>
    </w:p>
    <w:p w14:paraId="32919347" w14:textId="77777777" w:rsidR="00786805" w:rsidRPr="00786805" w:rsidRDefault="00786805" w:rsidP="001A59D0">
      <w:pPr>
        <w:widowControl w:val="0"/>
        <w:overflowPunct w:val="0"/>
        <w:autoSpaceDE w:val="0"/>
        <w:autoSpaceDN w:val="0"/>
        <w:adjustRightInd w:val="0"/>
        <w:spacing w:line="240" w:lineRule="auto"/>
        <w:jc w:val="both"/>
      </w:pPr>
      <w:r w:rsidRPr="00786805">
        <w:t>All state sporting organisations are sent a letter informing them that the nomination period is open and are encouraged to nominate any individual that meets the assessment criteria.</w:t>
      </w:r>
    </w:p>
    <w:p w14:paraId="5DEB17A0" w14:textId="61D37C1B" w:rsidR="001A59D0" w:rsidRPr="001A59D0" w:rsidRDefault="001A59D0" w:rsidP="001A59D0">
      <w:pPr>
        <w:pStyle w:val="Heading3"/>
        <w:rPr>
          <w:sz w:val="22"/>
          <w:lang w:val="en-US"/>
        </w:rPr>
      </w:pPr>
      <w:r w:rsidRPr="000C07F0">
        <w:rPr>
          <w:lang w:val="en-US"/>
        </w:rPr>
        <w:t>Who is eligible?</w:t>
      </w:r>
    </w:p>
    <w:p w14:paraId="65E4A65B" w14:textId="094CFB04" w:rsidR="001A59D0" w:rsidRPr="001A59D0" w:rsidRDefault="001A59D0" w:rsidP="001A59D0">
      <w:pPr>
        <w:widowControl w:val="0"/>
        <w:overflowPunct w:val="0"/>
        <w:autoSpaceDE w:val="0"/>
        <w:autoSpaceDN w:val="0"/>
        <w:adjustRightInd w:val="0"/>
        <w:jc w:val="both"/>
      </w:pPr>
      <w:r w:rsidRPr="001A59D0">
        <w:t>To be considered for selection a person must meet the following criteria:</w:t>
      </w:r>
    </w:p>
    <w:p w14:paraId="0FCEE98C" w14:textId="77777777" w:rsidR="001A59D0" w:rsidRPr="001A59D0" w:rsidRDefault="001A59D0" w:rsidP="001A59D0">
      <w:pPr>
        <w:widowControl w:val="0"/>
        <w:numPr>
          <w:ilvl w:val="0"/>
          <w:numId w:val="14"/>
        </w:numPr>
        <w:tabs>
          <w:tab w:val="clear" w:pos="720"/>
          <w:tab w:val="num" w:pos="540"/>
        </w:tabs>
        <w:overflowPunct w:val="0"/>
        <w:autoSpaceDE w:val="0"/>
        <w:autoSpaceDN w:val="0"/>
        <w:adjustRightInd w:val="0"/>
        <w:spacing w:before="120" w:after="120" w:line="240" w:lineRule="auto"/>
        <w:ind w:left="539" w:hanging="539"/>
        <w:jc w:val="both"/>
      </w:pPr>
      <w:r w:rsidRPr="001A59D0">
        <w:t xml:space="preserve">have achieved outstanding performance in sporting competition while either identifying themselves as Tasmanian or acknowledging </w:t>
      </w:r>
      <w:smartTag w:uri="urn:schemas-microsoft-com:office:smarttags" w:element="place">
        <w:smartTag w:uri="urn:schemas-microsoft-com:office:smarttags" w:element="State">
          <w:r w:rsidRPr="001A59D0">
            <w:t>Tasmania</w:t>
          </w:r>
        </w:smartTag>
      </w:smartTag>
      <w:r w:rsidRPr="001A59D0">
        <w:t xml:space="preserve"> as their home</w:t>
      </w:r>
    </w:p>
    <w:p w14:paraId="0FE25656" w14:textId="77777777" w:rsidR="001A59D0" w:rsidRPr="001A59D0" w:rsidRDefault="001A59D0" w:rsidP="001A59D0">
      <w:pPr>
        <w:widowControl w:val="0"/>
        <w:numPr>
          <w:ilvl w:val="0"/>
          <w:numId w:val="14"/>
        </w:numPr>
        <w:tabs>
          <w:tab w:val="clear" w:pos="720"/>
          <w:tab w:val="num" w:pos="540"/>
        </w:tabs>
        <w:overflowPunct w:val="0"/>
        <w:autoSpaceDE w:val="0"/>
        <w:autoSpaceDN w:val="0"/>
        <w:adjustRightInd w:val="0"/>
        <w:spacing w:before="120" w:after="120" w:line="240" w:lineRule="auto"/>
        <w:ind w:left="539" w:hanging="539"/>
        <w:jc w:val="both"/>
      </w:pPr>
      <w:r w:rsidRPr="001A59D0">
        <w:t>have participated in open competition at the highest level of their sport</w:t>
      </w:r>
    </w:p>
    <w:p w14:paraId="7916D6BD" w14:textId="77777777" w:rsidR="001A59D0" w:rsidRPr="001A59D0" w:rsidRDefault="001A59D0" w:rsidP="001A59D0">
      <w:pPr>
        <w:widowControl w:val="0"/>
        <w:numPr>
          <w:ilvl w:val="0"/>
          <w:numId w:val="14"/>
        </w:numPr>
        <w:tabs>
          <w:tab w:val="clear" w:pos="720"/>
          <w:tab w:val="num" w:pos="540"/>
        </w:tabs>
        <w:overflowPunct w:val="0"/>
        <w:autoSpaceDE w:val="0"/>
        <w:autoSpaceDN w:val="0"/>
        <w:adjustRightInd w:val="0"/>
        <w:spacing w:before="120" w:after="120" w:line="240" w:lineRule="auto"/>
        <w:ind w:left="539" w:hanging="539"/>
        <w:jc w:val="both"/>
      </w:pPr>
      <w:r w:rsidRPr="001A59D0">
        <w:t>be retired from that level of competition for a minimum period of four years</w:t>
      </w:r>
    </w:p>
    <w:p w14:paraId="1FFBCE41" w14:textId="576C65E4" w:rsidR="00F00FD4" w:rsidRPr="0014223E" w:rsidRDefault="001A59D0" w:rsidP="0014223E">
      <w:pPr>
        <w:widowControl w:val="0"/>
        <w:numPr>
          <w:ilvl w:val="0"/>
          <w:numId w:val="14"/>
        </w:numPr>
        <w:tabs>
          <w:tab w:val="clear" w:pos="720"/>
          <w:tab w:val="num" w:pos="540"/>
        </w:tabs>
        <w:overflowPunct w:val="0"/>
        <w:autoSpaceDE w:val="0"/>
        <w:autoSpaceDN w:val="0"/>
        <w:adjustRightInd w:val="0"/>
        <w:spacing w:before="120" w:after="120" w:line="240" w:lineRule="auto"/>
        <w:ind w:left="539" w:hanging="539"/>
        <w:jc w:val="both"/>
      </w:pPr>
      <w:r w:rsidRPr="001A59D0">
        <w:t>have exhibited a standard of behaviour that is fair, ethical and above reproach in relation to the rules and regulations of their sport and the community’s expectations.</w:t>
      </w:r>
    </w:p>
    <w:p w14:paraId="47145E89" w14:textId="77777777" w:rsidR="001A59D0" w:rsidRDefault="001A59D0">
      <w:pPr>
        <w:spacing w:after="0" w:line="240" w:lineRule="auto"/>
        <w:rPr>
          <w:rFonts w:ascii="Arial" w:hAnsi="Arial" w:cs="Arial"/>
          <w:color w:val="000000"/>
          <w:kern w:val="28"/>
          <w:sz w:val="20"/>
          <w:lang w:val="en-US"/>
        </w:rPr>
      </w:pPr>
    </w:p>
    <w:p w14:paraId="1DD10723" w14:textId="68ABFEA3" w:rsidR="001A59D0" w:rsidRDefault="001A59D0">
      <w:pPr>
        <w:spacing w:after="0" w:line="240" w:lineRule="auto"/>
        <w:sectPr w:rsidR="001A59D0" w:rsidSect="00F00FD4">
          <w:headerReference w:type="default" r:id="rId8"/>
          <w:footerReference w:type="even" r:id="rId9"/>
          <w:headerReference w:type="first" r:id="rId10"/>
          <w:footerReference w:type="first" r:id="rId11"/>
          <w:type w:val="continuous"/>
          <w:pgSz w:w="11900" w:h="16840"/>
          <w:pgMar w:top="2268" w:right="2835" w:bottom="2835" w:left="1134" w:header="709" w:footer="216" w:gutter="0"/>
          <w:cols w:space="708"/>
          <w:titlePg/>
          <w:docGrid w:linePitch="360"/>
        </w:sectPr>
      </w:pPr>
    </w:p>
    <w:p w14:paraId="424573B5" w14:textId="295499F1" w:rsidR="001A59D0" w:rsidRDefault="001A59D0" w:rsidP="001A59D0">
      <w:pPr>
        <w:widowControl w:val="0"/>
        <w:overflowPunct w:val="0"/>
        <w:autoSpaceDE w:val="0"/>
        <w:autoSpaceDN w:val="0"/>
        <w:adjustRightInd w:val="0"/>
        <w:jc w:val="both"/>
      </w:pPr>
      <w:r w:rsidRPr="001A59D0">
        <w:lastRenderedPageBreak/>
        <w:t>Individuals considered for induction have, typically, represented Australia with a medal-winning or equivalent outstanding performance in their sport.</w:t>
      </w:r>
    </w:p>
    <w:p w14:paraId="3F2B5DD8" w14:textId="22A7D528" w:rsidR="001A59D0" w:rsidRPr="0012426C" w:rsidRDefault="001A59D0" w:rsidP="001A59D0">
      <w:pPr>
        <w:pStyle w:val="Heading4"/>
        <w:rPr>
          <w:color w:val="42963D" w:themeColor="text2" w:themeShade="BF"/>
          <w:lang w:val="en-US"/>
        </w:rPr>
      </w:pPr>
      <w:r w:rsidRPr="0012426C">
        <w:rPr>
          <w:color w:val="42963D" w:themeColor="text2" w:themeShade="BF"/>
          <w:lang w:val="en-US"/>
        </w:rPr>
        <w:t>Judging</w:t>
      </w:r>
    </w:p>
    <w:p w14:paraId="30E9E11B" w14:textId="170DEAE2" w:rsidR="001A59D0" w:rsidRPr="001A59D0" w:rsidRDefault="001A59D0" w:rsidP="001A59D0">
      <w:pPr>
        <w:widowControl w:val="0"/>
        <w:overflowPunct w:val="0"/>
        <w:autoSpaceDE w:val="0"/>
        <w:autoSpaceDN w:val="0"/>
        <w:adjustRightInd w:val="0"/>
        <w:spacing w:line="240" w:lineRule="auto"/>
        <w:jc w:val="both"/>
      </w:pPr>
      <w:r w:rsidRPr="001A59D0">
        <w:t xml:space="preserve">Nominations are considered by the Tasmanian Sporting Hall of Fame judging panel, which is chaired by </w:t>
      </w:r>
      <w:r w:rsidR="008E1BEE">
        <w:t xml:space="preserve">the </w:t>
      </w:r>
      <w:r w:rsidR="008E1BEE" w:rsidRPr="005221F3">
        <w:t xml:space="preserve">Deputy Secretary, </w:t>
      </w:r>
      <w:r w:rsidR="0014223E">
        <w:t>Creative Industries, Sport and Visitor Economy</w:t>
      </w:r>
      <w:r w:rsidR="008E1BEE" w:rsidRPr="005221F3">
        <w:t xml:space="preserve"> or a delegate</w:t>
      </w:r>
      <w:r w:rsidRPr="005221F3">
        <w:t>.</w:t>
      </w:r>
    </w:p>
    <w:p w14:paraId="60D530B4" w14:textId="4B316D8E" w:rsidR="001A59D0" w:rsidRPr="001A59D0" w:rsidRDefault="001A59D0" w:rsidP="001A59D0">
      <w:pPr>
        <w:widowControl w:val="0"/>
        <w:overflowPunct w:val="0"/>
        <w:autoSpaceDE w:val="0"/>
        <w:autoSpaceDN w:val="0"/>
        <w:adjustRightInd w:val="0"/>
        <w:jc w:val="both"/>
      </w:pPr>
      <w:r w:rsidRPr="001A59D0">
        <w:t>An individual must meet all assessment criteria to be considered for induction.</w:t>
      </w:r>
    </w:p>
    <w:p w14:paraId="208C1F42" w14:textId="4244BF5F" w:rsidR="001A59D0" w:rsidRPr="001A59D0" w:rsidRDefault="001A59D0" w:rsidP="001A59D0">
      <w:pPr>
        <w:widowControl w:val="0"/>
        <w:overflowPunct w:val="0"/>
        <w:autoSpaceDE w:val="0"/>
        <w:autoSpaceDN w:val="0"/>
        <w:adjustRightInd w:val="0"/>
        <w:spacing w:line="240" w:lineRule="auto"/>
        <w:jc w:val="both"/>
      </w:pPr>
      <w:r w:rsidRPr="001A59D0">
        <w:t>No distinction should be made between amateurs and professionals or males and females.</w:t>
      </w:r>
    </w:p>
    <w:p w14:paraId="72AF3741" w14:textId="626E70BB" w:rsidR="001A59D0" w:rsidRPr="001A59D0" w:rsidRDefault="001A59D0" w:rsidP="001A59D0">
      <w:pPr>
        <w:widowControl w:val="0"/>
        <w:overflowPunct w:val="0"/>
        <w:autoSpaceDE w:val="0"/>
        <w:autoSpaceDN w:val="0"/>
        <w:adjustRightInd w:val="0"/>
        <w:spacing w:line="240" w:lineRule="auto"/>
        <w:jc w:val="both"/>
      </w:pPr>
      <w:r w:rsidRPr="001A59D0">
        <w:t>The assessment of each nominated individual must be based on the available level of competition during their era of competing.</w:t>
      </w:r>
    </w:p>
    <w:p w14:paraId="3EBBE8F0" w14:textId="10118D08" w:rsidR="001A59D0" w:rsidRPr="001A59D0" w:rsidRDefault="001A59D0" w:rsidP="001A59D0">
      <w:pPr>
        <w:widowControl w:val="0"/>
        <w:overflowPunct w:val="0"/>
        <w:autoSpaceDE w:val="0"/>
        <w:autoSpaceDN w:val="0"/>
        <w:adjustRightInd w:val="0"/>
        <w:spacing w:line="240" w:lineRule="auto"/>
        <w:jc w:val="both"/>
      </w:pPr>
      <w:r w:rsidRPr="001A59D0">
        <w:t xml:space="preserve">In the case of an Australian Football </w:t>
      </w:r>
      <w:r w:rsidR="008E1BEE">
        <w:t xml:space="preserve">League </w:t>
      </w:r>
      <w:r w:rsidRPr="001A59D0">
        <w:t>nominee, the individual must have been awarded at least ‘Legend’ status in the Tasmanian Football Hall of Fame to be considered for induction.</w:t>
      </w:r>
    </w:p>
    <w:p w14:paraId="4D4AE29B" w14:textId="3D57D7D1" w:rsidR="001A59D0" w:rsidRPr="001A59D0" w:rsidRDefault="001A59D0" w:rsidP="001A59D0">
      <w:pPr>
        <w:widowControl w:val="0"/>
        <w:overflowPunct w:val="0"/>
        <w:autoSpaceDE w:val="0"/>
        <w:autoSpaceDN w:val="0"/>
        <w:adjustRightInd w:val="0"/>
        <w:spacing w:line="240" w:lineRule="auto"/>
        <w:jc w:val="both"/>
      </w:pPr>
      <w:r w:rsidRPr="001A59D0">
        <w:t>Any individual who is a member of a Sporting Hall of Fame in another state or territory is still eligible for consideration of induction into the Tasmanian Sporting Hall of Fame. The key determinant for induction is the performance of the individual while still representing Tasmania.</w:t>
      </w:r>
    </w:p>
    <w:p w14:paraId="677AE89B" w14:textId="6DFF36F4" w:rsidR="001A59D0" w:rsidRPr="001A59D0" w:rsidRDefault="001A59D0" w:rsidP="001A59D0">
      <w:pPr>
        <w:widowControl w:val="0"/>
        <w:overflowPunct w:val="0"/>
        <w:autoSpaceDE w:val="0"/>
        <w:autoSpaceDN w:val="0"/>
        <w:adjustRightInd w:val="0"/>
        <w:spacing w:line="240" w:lineRule="auto"/>
        <w:jc w:val="both"/>
      </w:pPr>
      <w:r w:rsidRPr="001A59D0">
        <w:t xml:space="preserve">Should any nomination </w:t>
      </w:r>
      <w:proofErr w:type="gramStart"/>
      <w:r w:rsidRPr="001A59D0">
        <w:t>be considered to be</w:t>
      </w:r>
      <w:proofErr w:type="gramEnd"/>
      <w:r w:rsidRPr="001A59D0">
        <w:t xml:space="preserve"> incomplete or lacking specific information, the Tasmanian Sporting Hall of Fame Coordinator will write to the nominator upon submission of the nomination requesting additional information within seven days. Should this not be provided, the nomination will be considered ineligible.</w:t>
      </w:r>
    </w:p>
    <w:p w14:paraId="6A212A9E" w14:textId="3A457AA7" w:rsidR="001A59D0" w:rsidRPr="001A59D0" w:rsidRDefault="001A59D0" w:rsidP="001A59D0">
      <w:pPr>
        <w:widowControl w:val="0"/>
        <w:overflowPunct w:val="0"/>
        <w:autoSpaceDE w:val="0"/>
        <w:autoSpaceDN w:val="0"/>
        <w:adjustRightInd w:val="0"/>
        <w:spacing w:line="240" w:lineRule="auto"/>
        <w:jc w:val="both"/>
      </w:pPr>
      <w:r w:rsidRPr="001A59D0">
        <w:t xml:space="preserve">Once an individual has been deemed unsuitable for induction, they will not be considered again by the judging panel unless further relevant information about their performance/s is provided during an official nomination period. </w:t>
      </w:r>
    </w:p>
    <w:p w14:paraId="0B98E201" w14:textId="167F3D99" w:rsidR="001A59D0" w:rsidRPr="001A59D0" w:rsidRDefault="001A59D0" w:rsidP="001A59D0">
      <w:pPr>
        <w:widowControl w:val="0"/>
        <w:overflowPunct w:val="0"/>
        <w:autoSpaceDE w:val="0"/>
        <w:autoSpaceDN w:val="0"/>
        <w:adjustRightInd w:val="0"/>
        <w:jc w:val="both"/>
      </w:pPr>
      <w:r w:rsidRPr="001A59D0">
        <w:t>Judging panel members receive copies of all nominations and assessment sheets at least two weeks before the panel is due to convene.</w:t>
      </w:r>
    </w:p>
    <w:p w14:paraId="032301C8" w14:textId="67015ACB" w:rsidR="001A59D0" w:rsidRPr="001A59D0" w:rsidRDefault="001A59D0" w:rsidP="001A59D0">
      <w:pPr>
        <w:widowControl w:val="0"/>
        <w:overflowPunct w:val="0"/>
        <w:autoSpaceDE w:val="0"/>
        <w:autoSpaceDN w:val="0"/>
        <w:adjustRightInd w:val="0"/>
        <w:spacing w:line="240" w:lineRule="auto"/>
        <w:jc w:val="both"/>
      </w:pPr>
      <w:r w:rsidRPr="001A59D0">
        <w:t xml:space="preserve">The judges’ decisions are </w:t>
      </w:r>
      <w:proofErr w:type="gramStart"/>
      <w:r w:rsidRPr="001A59D0">
        <w:t>final</w:t>
      </w:r>
      <w:proofErr w:type="gramEnd"/>
      <w:r w:rsidRPr="001A59D0">
        <w:t xml:space="preserve"> and no communication is entered into regarding the judging of the nominations. Any queries about decisions made by the panel should be forwarded to the </w:t>
      </w:r>
      <w:r w:rsidR="00207597" w:rsidRPr="005221F3">
        <w:t xml:space="preserve">Deputy Secretary, </w:t>
      </w:r>
      <w:r w:rsidR="0014223E">
        <w:t>Creative Industr</w:t>
      </w:r>
      <w:r w:rsidR="006954A3">
        <w:t>ies, Sport and Visitor Economy</w:t>
      </w:r>
      <w:r w:rsidRPr="005221F3">
        <w:t>.</w:t>
      </w:r>
    </w:p>
    <w:p w14:paraId="22598A8C" w14:textId="2E7AF905" w:rsidR="001A59D0" w:rsidRPr="0012426C" w:rsidRDefault="001A59D0" w:rsidP="001A59D0">
      <w:pPr>
        <w:pStyle w:val="Heading4"/>
        <w:rPr>
          <w:color w:val="42963D" w:themeColor="text2" w:themeShade="BF"/>
          <w:lang w:val="en-US"/>
        </w:rPr>
      </w:pPr>
      <w:r w:rsidRPr="0012426C">
        <w:rPr>
          <w:color w:val="42963D" w:themeColor="text2" w:themeShade="BF"/>
          <w:lang w:val="en-US"/>
        </w:rPr>
        <w:t>Right to review</w:t>
      </w:r>
      <w:r w:rsidR="00D67F99">
        <w:rPr>
          <w:color w:val="42963D" w:themeColor="text2" w:themeShade="BF"/>
          <w:lang w:val="en-US"/>
        </w:rPr>
        <w:t xml:space="preserve"> assessment</w:t>
      </w:r>
    </w:p>
    <w:p w14:paraId="6024E4B7" w14:textId="77777777" w:rsidR="001A59D0" w:rsidRPr="00044F6D" w:rsidRDefault="001A59D0" w:rsidP="001A59D0">
      <w:pPr>
        <w:widowControl w:val="0"/>
        <w:overflowPunct w:val="0"/>
        <w:autoSpaceDE w:val="0"/>
        <w:autoSpaceDN w:val="0"/>
        <w:adjustRightInd w:val="0"/>
        <w:jc w:val="both"/>
      </w:pPr>
      <w:r w:rsidRPr="001A59D0">
        <w:t xml:space="preserve">The </w:t>
      </w:r>
      <w:r w:rsidRPr="00044F6D">
        <w:t>policy for the right to review assessments of nominated individuals, is as follows:</w:t>
      </w:r>
    </w:p>
    <w:p w14:paraId="026721BE" w14:textId="158A50B8" w:rsidR="001A59D0" w:rsidRPr="005221F3" w:rsidRDefault="001A59D0" w:rsidP="003B78B3">
      <w:pPr>
        <w:widowControl w:val="0"/>
        <w:numPr>
          <w:ilvl w:val="0"/>
          <w:numId w:val="15"/>
        </w:numPr>
        <w:overflowPunct w:val="0"/>
        <w:autoSpaceDE w:val="0"/>
        <w:autoSpaceDN w:val="0"/>
        <w:adjustRightInd w:val="0"/>
        <w:spacing w:after="0" w:line="240" w:lineRule="auto"/>
        <w:jc w:val="both"/>
      </w:pPr>
      <w:proofErr w:type="gramStart"/>
      <w:r w:rsidRPr="005221F3">
        <w:t>In order for</w:t>
      </w:r>
      <w:proofErr w:type="gramEnd"/>
      <w:r w:rsidRPr="005221F3">
        <w:t xml:space="preserve"> an individual to be considered for induction into the Tasmanian Sporting Hall of Fame they must be nominated in an official nomination period as determined by</w:t>
      </w:r>
      <w:r w:rsidR="003B78B3" w:rsidRPr="005221F3">
        <w:t xml:space="preserve"> </w:t>
      </w:r>
      <w:r w:rsidR="006954A3">
        <w:t>Creative Industries, Sport and Visitor Economy</w:t>
      </w:r>
      <w:r w:rsidR="00044F6D" w:rsidRPr="005221F3">
        <w:t>.</w:t>
      </w:r>
    </w:p>
    <w:p w14:paraId="498620A8" w14:textId="78C2BA51" w:rsidR="001A59D0" w:rsidRDefault="001A59D0" w:rsidP="001A59D0">
      <w:pPr>
        <w:widowControl w:val="0"/>
        <w:numPr>
          <w:ilvl w:val="0"/>
          <w:numId w:val="15"/>
        </w:numPr>
        <w:overflowPunct w:val="0"/>
        <w:autoSpaceDE w:val="0"/>
        <w:autoSpaceDN w:val="0"/>
        <w:adjustRightInd w:val="0"/>
        <w:spacing w:after="0" w:line="240" w:lineRule="auto"/>
        <w:jc w:val="both"/>
      </w:pPr>
      <w:r w:rsidRPr="001A59D0">
        <w:t xml:space="preserve">Nominations are considered by the Tasmanian Sporting Hall of Fame judging panel, which is chaired by </w:t>
      </w:r>
      <w:r w:rsidR="005221F3">
        <w:t xml:space="preserve">the Deputy Secretary, </w:t>
      </w:r>
      <w:r w:rsidR="006954A3">
        <w:t>Creative Industries, Sport and Visitor Economy</w:t>
      </w:r>
      <w:r w:rsidR="005221F3">
        <w:t xml:space="preserve"> or a delegate.</w:t>
      </w:r>
    </w:p>
    <w:p w14:paraId="399FB46F" w14:textId="1D37A601" w:rsidR="001A59D0" w:rsidRDefault="001A59D0" w:rsidP="001A59D0">
      <w:pPr>
        <w:widowControl w:val="0"/>
        <w:numPr>
          <w:ilvl w:val="0"/>
          <w:numId w:val="15"/>
        </w:numPr>
        <w:overflowPunct w:val="0"/>
        <w:autoSpaceDE w:val="0"/>
        <w:autoSpaceDN w:val="0"/>
        <w:adjustRightInd w:val="0"/>
        <w:spacing w:after="0" w:line="240" w:lineRule="auto"/>
        <w:jc w:val="both"/>
      </w:pPr>
      <w:r w:rsidRPr="001A59D0">
        <w:t xml:space="preserve">Once an individual has been deemed unsuitable for induction, they will not be considered again by the judging panel unless further relevant information about their performance/s is provided during an official nomination period. </w:t>
      </w:r>
    </w:p>
    <w:p w14:paraId="7AE83BC4" w14:textId="3A49D261" w:rsidR="00044F6D" w:rsidRDefault="00044F6D" w:rsidP="00044F6D">
      <w:pPr>
        <w:widowControl w:val="0"/>
        <w:overflowPunct w:val="0"/>
        <w:autoSpaceDE w:val="0"/>
        <w:autoSpaceDN w:val="0"/>
        <w:adjustRightInd w:val="0"/>
        <w:spacing w:after="0" w:line="240" w:lineRule="auto"/>
        <w:jc w:val="both"/>
      </w:pPr>
    </w:p>
    <w:p w14:paraId="3D189699" w14:textId="51323CDC" w:rsidR="00044F6D" w:rsidRDefault="00044F6D" w:rsidP="00044F6D">
      <w:pPr>
        <w:widowControl w:val="0"/>
        <w:overflowPunct w:val="0"/>
        <w:autoSpaceDE w:val="0"/>
        <w:autoSpaceDN w:val="0"/>
        <w:adjustRightInd w:val="0"/>
        <w:spacing w:after="0" w:line="240" w:lineRule="auto"/>
        <w:jc w:val="both"/>
      </w:pPr>
    </w:p>
    <w:p w14:paraId="3ED9EA47" w14:textId="77777777" w:rsidR="001A59D0" w:rsidRPr="001A59D0" w:rsidRDefault="001A59D0" w:rsidP="001A59D0">
      <w:pPr>
        <w:widowControl w:val="0"/>
        <w:numPr>
          <w:ilvl w:val="0"/>
          <w:numId w:val="15"/>
        </w:numPr>
        <w:overflowPunct w:val="0"/>
        <w:autoSpaceDE w:val="0"/>
        <w:autoSpaceDN w:val="0"/>
        <w:adjustRightInd w:val="0"/>
        <w:spacing w:after="0" w:line="240" w:lineRule="auto"/>
        <w:jc w:val="both"/>
      </w:pPr>
      <w:r w:rsidRPr="001A59D0">
        <w:lastRenderedPageBreak/>
        <w:t>A nominator has the right to one review and must write to the Hall of Fame judging panel to request it.</w:t>
      </w:r>
    </w:p>
    <w:p w14:paraId="48FD8B78" w14:textId="77777777" w:rsidR="001A59D0" w:rsidRPr="001A59D0" w:rsidRDefault="001A59D0" w:rsidP="001A59D0">
      <w:pPr>
        <w:widowControl w:val="0"/>
        <w:numPr>
          <w:ilvl w:val="0"/>
          <w:numId w:val="15"/>
        </w:numPr>
        <w:overflowPunct w:val="0"/>
        <w:autoSpaceDE w:val="0"/>
        <w:autoSpaceDN w:val="0"/>
        <w:adjustRightInd w:val="0"/>
        <w:spacing w:after="0" w:line="240" w:lineRule="auto"/>
        <w:jc w:val="both"/>
      </w:pPr>
      <w:r w:rsidRPr="001A59D0">
        <w:t>The panel will review their assessment of the individual’s nomination, as requested, at the next scheduled judging panel meeting.</w:t>
      </w:r>
    </w:p>
    <w:p w14:paraId="3F6BB7CB" w14:textId="3EB001EB" w:rsidR="001A59D0" w:rsidRDefault="001A59D0" w:rsidP="001A59D0">
      <w:pPr>
        <w:widowControl w:val="0"/>
        <w:numPr>
          <w:ilvl w:val="0"/>
          <w:numId w:val="15"/>
        </w:numPr>
        <w:overflowPunct w:val="0"/>
        <w:autoSpaceDE w:val="0"/>
        <w:autoSpaceDN w:val="0"/>
        <w:adjustRightInd w:val="0"/>
        <w:spacing w:after="0" w:line="240" w:lineRule="auto"/>
      </w:pPr>
      <w:r w:rsidRPr="001A59D0">
        <w:t xml:space="preserve">Should the panel uphold their original decision, no further communication will be entered </w:t>
      </w:r>
      <w:proofErr w:type="gramStart"/>
      <w:r w:rsidRPr="001A59D0">
        <w:t>into</w:t>
      </w:r>
      <w:proofErr w:type="gramEnd"/>
      <w:r w:rsidRPr="001A59D0">
        <w:t xml:space="preserve"> and their decision is final.</w:t>
      </w:r>
    </w:p>
    <w:p w14:paraId="27AF1A25" w14:textId="77777777" w:rsidR="00561FDE" w:rsidRDefault="00561FDE" w:rsidP="00561FDE">
      <w:pPr>
        <w:widowControl w:val="0"/>
        <w:overflowPunct w:val="0"/>
        <w:autoSpaceDE w:val="0"/>
        <w:autoSpaceDN w:val="0"/>
        <w:adjustRightInd w:val="0"/>
        <w:spacing w:after="0" w:line="240" w:lineRule="auto"/>
        <w:ind w:left="1080"/>
      </w:pPr>
    </w:p>
    <w:p w14:paraId="29B4CB32" w14:textId="36050790" w:rsidR="00700959" w:rsidRPr="00561FDE" w:rsidRDefault="00700959" w:rsidP="00561FDE">
      <w:pPr>
        <w:pStyle w:val="ListParagraph"/>
        <w:numPr>
          <w:ilvl w:val="0"/>
          <w:numId w:val="16"/>
        </w:numPr>
        <w:rPr>
          <w:rFonts w:cs="Calibri"/>
          <w:i/>
          <w:iCs/>
        </w:rPr>
      </w:pPr>
      <w:r w:rsidRPr="00561FDE">
        <w:rPr>
          <w:i/>
          <w:iCs/>
        </w:rPr>
        <w:t xml:space="preserve">The Hall of Fame judging panel reserves the right to revoke a Hall of Fame membership if a member is known to have conducted an offence or partakes in conduct of a nature deemed to be harmful to the reputation and standing of the Hall of Fame and its members or is conduct not of the standard expected of a member of Hall of Fame. </w:t>
      </w:r>
    </w:p>
    <w:p w14:paraId="2240B779" w14:textId="086208B5" w:rsidR="001A59D0" w:rsidRPr="0012426C" w:rsidRDefault="001A59D0" w:rsidP="001A59D0">
      <w:pPr>
        <w:pStyle w:val="Heading4"/>
        <w:rPr>
          <w:color w:val="42963D" w:themeColor="text2" w:themeShade="BF"/>
          <w:lang w:val="en-US"/>
        </w:rPr>
      </w:pPr>
      <w:r w:rsidRPr="0012426C">
        <w:rPr>
          <w:color w:val="42963D" w:themeColor="text2" w:themeShade="BF"/>
          <w:lang w:val="en-US"/>
        </w:rPr>
        <w:t>Induction ceremony</w:t>
      </w:r>
    </w:p>
    <w:p w14:paraId="3FD08D5D" w14:textId="33F4B3AA" w:rsidR="001A59D0" w:rsidRPr="001A59D0" w:rsidRDefault="001A59D0" w:rsidP="001A59D0">
      <w:pPr>
        <w:widowControl w:val="0"/>
        <w:overflowPunct w:val="0"/>
        <w:autoSpaceDE w:val="0"/>
        <w:autoSpaceDN w:val="0"/>
        <w:adjustRightInd w:val="0"/>
        <w:spacing w:line="240" w:lineRule="auto"/>
        <w:jc w:val="both"/>
      </w:pPr>
      <w:r w:rsidRPr="001A59D0">
        <w:t>The induction ceremony is held annually providing there are new members for induction. There is no limit to the number of inductees each year.</w:t>
      </w:r>
    </w:p>
    <w:p w14:paraId="34A45941" w14:textId="01466AB1" w:rsidR="001A59D0" w:rsidRPr="001A59D0" w:rsidRDefault="001A59D0" w:rsidP="001A59D0">
      <w:pPr>
        <w:widowControl w:val="0"/>
        <w:overflowPunct w:val="0"/>
        <w:autoSpaceDE w:val="0"/>
        <w:autoSpaceDN w:val="0"/>
        <w:adjustRightInd w:val="0"/>
        <w:spacing w:line="240" w:lineRule="auto"/>
        <w:jc w:val="both"/>
      </w:pPr>
      <w:r w:rsidRPr="001A59D0">
        <w:t>Judges and members of the Hall of Fame are invited to attend the ceremony.</w:t>
      </w:r>
    </w:p>
    <w:p w14:paraId="5C00AC64" w14:textId="701B32DF" w:rsidR="001A59D0" w:rsidRPr="0012426C" w:rsidRDefault="001A59D0" w:rsidP="001A59D0">
      <w:pPr>
        <w:pStyle w:val="Heading4"/>
        <w:rPr>
          <w:color w:val="42963D" w:themeColor="text2" w:themeShade="BF"/>
          <w:lang w:val="en-US"/>
        </w:rPr>
      </w:pPr>
      <w:r w:rsidRPr="0012426C">
        <w:rPr>
          <w:color w:val="42963D" w:themeColor="text2" w:themeShade="BF"/>
          <w:lang w:val="en-US"/>
        </w:rPr>
        <w:t>Hall of Fame</w:t>
      </w:r>
    </w:p>
    <w:p w14:paraId="29A73D0E" w14:textId="5E7B8BEC" w:rsidR="001A59D0" w:rsidRPr="001A59D0" w:rsidRDefault="001A59D0" w:rsidP="001A59D0">
      <w:pPr>
        <w:widowControl w:val="0"/>
        <w:overflowPunct w:val="0"/>
        <w:autoSpaceDE w:val="0"/>
        <w:autoSpaceDN w:val="0"/>
        <w:adjustRightInd w:val="0"/>
        <w:spacing w:line="240" w:lineRule="auto"/>
        <w:jc w:val="both"/>
      </w:pPr>
      <w:r w:rsidRPr="001A59D0">
        <w:t>A physical display honouring the Hall of Fame members is located at the Silverdome complex in Prospect, Launceston.</w:t>
      </w:r>
    </w:p>
    <w:p w14:paraId="566C4A12" w14:textId="44B3C0C4" w:rsidR="001A59D0" w:rsidRPr="001A59D0" w:rsidRDefault="001A59D0" w:rsidP="001A59D0">
      <w:pPr>
        <w:widowControl w:val="0"/>
        <w:overflowPunct w:val="0"/>
        <w:autoSpaceDE w:val="0"/>
        <w:autoSpaceDN w:val="0"/>
        <w:adjustRightInd w:val="0"/>
        <w:spacing w:line="240" w:lineRule="auto"/>
        <w:jc w:val="both"/>
      </w:pPr>
      <w:r w:rsidRPr="001A59D0">
        <w:t>The display comprises a framed black and white photo of each member, a plaque containing a brief citation highlighting their career achievements and the official honour-roll board.</w:t>
      </w:r>
    </w:p>
    <w:p w14:paraId="447316EA" w14:textId="64947DB5" w:rsidR="001A59D0" w:rsidRPr="001A59D0" w:rsidRDefault="001A59D0" w:rsidP="001A59D0">
      <w:pPr>
        <w:pStyle w:val="Heading6"/>
        <w:rPr>
          <w:b/>
          <w:bCs/>
          <w:lang w:val="en-US"/>
        </w:rPr>
      </w:pPr>
      <w:r w:rsidRPr="0012426C">
        <w:rPr>
          <w:b/>
          <w:bCs/>
          <w:color w:val="42963D" w:themeColor="text2" w:themeShade="BF"/>
          <w:lang w:val="en-US"/>
        </w:rPr>
        <w:t>Further information</w:t>
      </w:r>
      <w:r w:rsidRPr="0012426C">
        <w:rPr>
          <w:b/>
          <w:bCs/>
          <w:color w:val="42963D" w:themeColor="text2" w:themeShade="BF"/>
          <w:lang w:val="en-US"/>
        </w:rPr>
        <w:br/>
      </w:r>
    </w:p>
    <w:p w14:paraId="7107F8B8" w14:textId="5CBEA732" w:rsidR="001A59D0" w:rsidRDefault="001A59D0" w:rsidP="003B78B3">
      <w:pPr>
        <w:widowControl w:val="0"/>
        <w:overflowPunct w:val="0"/>
        <w:autoSpaceDE w:val="0"/>
        <w:autoSpaceDN w:val="0"/>
        <w:adjustRightInd w:val="0"/>
        <w:jc w:val="both"/>
        <w:rPr>
          <w:rFonts w:ascii="Arial" w:hAnsi="Arial" w:cs="Arial"/>
          <w:color w:val="000000"/>
          <w:kern w:val="28"/>
          <w:lang w:val="en-US"/>
        </w:rPr>
      </w:pPr>
      <w:r w:rsidRPr="005221F3">
        <w:t xml:space="preserve">Phone </w:t>
      </w:r>
      <w:r w:rsidR="00207597" w:rsidRPr="005221F3">
        <w:t>0438 531 465</w:t>
      </w:r>
      <w:r w:rsidRPr="005221F3">
        <w:t xml:space="preserve"> or </w:t>
      </w:r>
      <w:r w:rsidR="00207597" w:rsidRPr="005221F3">
        <w:t>halloffame</w:t>
      </w:r>
      <w:r w:rsidR="003B78B3" w:rsidRPr="005221F3">
        <w:t>@</w:t>
      </w:r>
      <w:r w:rsidR="000B0108">
        <w:t>active</w:t>
      </w:r>
      <w:r w:rsidRPr="005221F3">
        <w:t>.tas.gov.au</w:t>
      </w:r>
    </w:p>
    <w:sectPr w:rsidR="001A59D0" w:rsidSect="0012475E">
      <w:headerReference w:type="default" r:id="rId12"/>
      <w:footerReference w:type="default" r:id="rId13"/>
      <w:headerReference w:type="first" r:id="rId14"/>
      <w:footerReference w:type="first" r:id="rId15"/>
      <w:pgSz w:w="11900" w:h="16840"/>
      <w:pgMar w:top="2268" w:right="2835" w:bottom="1134" w:left="1134" w:header="70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6AAA" w14:textId="77777777" w:rsidR="00C12B01" w:rsidRDefault="00C12B01" w:rsidP="00F420E2">
      <w:pPr>
        <w:spacing w:after="0" w:line="240" w:lineRule="auto"/>
      </w:pPr>
      <w:r>
        <w:separator/>
      </w:r>
    </w:p>
  </w:endnote>
  <w:endnote w:type="continuationSeparator" w:id="0">
    <w:p w14:paraId="09603F77" w14:textId="77777777" w:rsidR="00C12B01" w:rsidRDefault="00C12B0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GillSansMTPro-Medium">
    <w:altName w:val="Calibri"/>
    <w:charset w:val="4D"/>
    <w:family w:val="auto"/>
    <w:pitch w:val="default"/>
    <w:sig w:usb0="00000003" w:usb1="00000000" w:usb2="00000000" w:usb3="00000000" w:csb0="00000001" w:csb1="00000000"/>
  </w:font>
  <w:font w:name="GillSansMTPro-MediumItalic">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7777777" w:rsidR="00F420E2" w:rsidRPr="00F420E2" w:rsidRDefault="00F420E2" w:rsidP="00F420E2">
    <w:pPr>
      <w:pStyle w:val="Footer"/>
      <w:jc w:val="left"/>
      <w:rPr>
        <w:rFonts w:cs="Times New Roman (Body CS)"/>
        <w:lang w:val="en-US"/>
      </w:rPr>
    </w:pPr>
    <w:r w:rsidRPr="004A14EE">
      <w:rPr>
        <w:rStyle w:val="FootnoteTextChar"/>
        <w:sz w:val="18"/>
        <w:szCs w:val="18"/>
        <w:lang w:val="en-US"/>
      </w:rPr>
      <w:t xml:space="preserve">PAGE </w:t>
    </w:r>
    <w:r w:rsidRPr="004A14EE">
      <w:rPr>
        <w:rStyle w:val="FootnoteTextChar"/>
        <w:sz w:val="18"/>
        <w:szCs w:val="18"/>
        <w:lang w:val="en-US"/>
      </w:rPr>
      <w:fldChar w:fldCharType="begin"/>
    </w:r>
    <w:r w:rsidRPr="004A14EE">
      <w:rPr>
        <w:rStyle w:val="FootnoteTextChar"/>
        <w:sz w:val="18"/>
        <w:szCs w:val="18"/>
        <w:lang w:val="en-US"/>
      </w:rPr>
      <w:instrText xml:space="preserve"> PAGE </w:instrText>
    </w:r>
    <w:r w:rsidRPr="004A14EE">
      <w:rPr>
        <w:rStyle w:val="FootnoteTextChar"/>
        <w:sz w:val="18"/>
        <w:szCs w:val="18"/>
      </w:rPr>
      <w:fldChar w:fldCharType="separate"/>
    </w:r>
    <w:r>
      <w:rPr>
        <w:rStyle w:val="FootnoteTextChar"/>
        <w:sz w:val="18"/>
        <w:szCs w:val="18"/>
      </w:rPr>
      <w:t>2</w:t>
    </w:r>
    <w:r w:rsidRPr="004A14EE">
      <w:rPr>
        <w:rStyle w:val="FootnoteTextChar"/>
        <w:sz w:val="18"/>
        <w:szCs w:val="18"/>
        <w:lang w:val="en-US"/>
      </w:rPr>
      <w:fldChar w:fldCharType="end"/>
    </w:r>
    <w:r w:rsidRPr="004A14EE">
      <w:rPr>
        <w:rStyle w:val="FootnoteTextChar"/>
        <w:sz w:val="18"/>
        <w:szCs w:val="18"/>
        <w:lang w:val="en-US"/>
      </w:rPr>
      <w:t xml:space="preserve"> of </w:t>
    </w:r>
    <w:r w:rsidRPr="004A14EE">
      <w:rPr>
        <w:rStyle w:val="FootnoteTextChar"/>
        <w:sz w:val="18"/>
        <w:szCs w:val="18"/>
        <w:lang w:val="en-US"/>
      </w:rPr>
      <w:fldChar w:fldCharType="begin"/>
    </w:r>
    <w:r w:rsidRPr="004A14EE">
      <w:rPr>
        <w:rStyle w:val="FootnoteTextChar"/>
        <w:sz w:val="18"/>
        <w:szCs w:val="18"/>
        <w:lang w:val="en-US"/>
      </w:rPr>
      <w:instrText xml:space="preserve"> NUMPAGES </w:instrText>
    </w:r>
    <w:r w:rsidRPr="004A14EE">
      <w:rPr>
        <w:rStyle w:val="FootnoteTextChar"/>
        <w:sz w:val="18"/>
        <w:szCs w:val="18"/>
      </w:rPr>
      <w:fldChar w:fldCharType="separate"/>
    </w:r>
    <w:r>
      <w:rPr>
        <w:rStyle w:val="FootnoteTextChar"/>
        <w:sz w:val="18"/>
        <w:szCs w:val="18"/>
      </w:rPr>
      <w:t>2</w:t>
    </w:r>
    <w:r w:rsidRPr="004A14EE">
      <w:rPr>
        <w:rStyle w:val="FootnoteTextChar"/>
        <w:sz w:val="18"/>
        <w:szCs w:val="18"/>
        <w:lang w:val="en-US"/>
      </w:rPr>
      <w:fldChar w:fldCharType="end"/>
    </w:r>
    <w:r w:rsidRPr="00DA5A1E">
      <w:rPr>
        <w:sz w:val="22"/>
        <w:szCs w:val="22"/>
      </w:rPr>
      <w:t xml:space="preserve"> </w:t>
    </w:r>
    <w:r>
      <w:rPr>
        <w:sz w:val="22"/>
        <w:szCs w:val="22"/>
      </w:rPr>
      <w:t xml:space="preserve"> </w:t>
    </w:r>
    <w:r w:rsidRPr="00DA5A1E">
      <w:rPr>
        <w:color w:val="FFDE00" w:themeColor="background2"/>
        <w:sz w:val="22"/>
        <w:szCs w:val="22"/>
      </w:rPr>
      <w:t>|</w:t>
    </w:r>
    <w:r w:rsidRPr="009E51B6">
      <w:t xml:space="preserve">  </w:t>
    </w:r>
    <w:r w:rsidRPr="00DA5A1E">
      <w:t>REPORT</w:t>
    </w:r>
    <w: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A635" w14:textId="77777777" w:rsidR="00B518E3" w:rsidRDefault="00B518E3" w:rsidP="00A47E51">
    <w:pPr>
      <w:pStyle w:val="TasGovDepartmentName"/>
      <w:ind w:left="-567"/>
    </w:pPr>
  </w:p>
  <w:p w14:paraId="37CEAAF5" w14:textId="77777777" w:rsidR="00B518E3" w:rsidRDefault="00B518E3" w:rsidP="00A47E51">
    <w:pPr>
      <w:pStyle w:val="TasGovDepartmentName"/>
      <w:ind w:left="-567"/>
    </w:pPr>
  </w:p>
  <w:p w14:paraId="02CF7732" w14:textId="329C70BD" w:rsidR="00A47E51" w:rsidRDefault="001C67D6" w:rsidP="00B518E3">
    <w:pPr>
      <w:pStyle w:val="TasGovDepartmentName"/>
      <w:ind w:left="-567"/>
    </w:pPr>
    <w:r>
      <w:t>Creative Industries, Sport and Visitor Economy</w:t>
    </w:r>
    <w:r w:rsidR="00B518E3">
      <w:br/>
    </w:r>
    <w:r w:rsidR="00A47E51">
      <w:t xml:space="preserve">Department of </w:t>
    </w:r>
    <w:r w:rsidR="003B78B3">
      <w:t>State Growth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911D" w14:textId="33D32005" w:rsidR="0012475E" w:rsidRPr="0043314F" w:rsidRDefault="0043314F" w:rsidP="0043314F">
    <w:pPr>
      <w:pStyle w:val="Footer"/>
      <w:jc w:val="left"/>
      <w:rPr>
        <w:rFonts w:cs="Times New Roman (Body CS)"/>
        <w:lang w:val="en-US"/>
      </w:rPr>
    </w:pPr>
    <w:r w:rsidRPr="004A14EE">
      <w:rPr>
        <w:rStyle w:val="FootnoteTextChar"/>
        <w:sz w:val="18"/>
        <w:szCs w:val="18"/>
        <w:lang w:val="en-US"/>
      </w:rPr>
      <w:t xml:space="preserve">PAGE </w:t>
    </w:r>
    <w:r w:rsidRPr="004A14EE">
      <w:rPr>
        <w:rStyle w:val="FootnoteTextChar"/>
        <w:sz w:val="18"/>
        <w:szCs w:val="18"/>
        <w:lang w:val="en-US"/>
      </w:rPr>
      <w:fldChar w:fldCharType="begin"/>
    </w:r>
    <w:r w:rsidRPr="004A14EE">
      <w:rPr>
        <w:rStyle w:val="FootnoteTextChar"/>
        <w:sz w:val="18"/>
        <w:szCs w:val="18"/>
        <w:lang w:val="en-US"/>
      </w:rPr>
      <w:instrText xml:space="preserve"> PAGE </w:instrText>
    </w:r>
    <w:r w:rsidRPr="004A14EE">
      <w:rPr>
        <w:rStyle w:val="FootnoteTextChar"/>
        <w:sz w:val="18"/>
        <w:szCs w:val="18"/>
      </w:rPr>
      <w:fldChar w:fldCharType="separate"/>
    </w:r>
    <w:r w:rsidR="00F440D3">
      <w:rPr>
        <w:rStyle w:val="FootnoteTextChar"/>
        <w:noProof/>
        <w:sz w:val="18"/>
        <w:szCs w:val="18"/>
        <w:lang w:val="en-US"/>
      </w:rPr>
      <w:t>2</w:t>
    </w:r>
    <w:r w:rsidRPr="004A14EE">
      <w:rPr>
        <w:rStyle w:val="FootnoteTextChar"/>
        <w:sz w:val="18"/>
        <w:szCs w:val="18"/>
        <w:lang w:val="en-US"/>
      </w:rPr>
      <w:fldChar w:fldCharType="end"/>
    </w:r>
    <w:r w:rsidRPr="004A14EE">
      <w:rPr>
        <w:rStyle w:val="FootnoteTextChar"/>
        <w:sz w:val="18"/>
        <w:szCs w:val="18"/>
        <w:lang w:val="en-US"/>
      </w:rPr>
      <w:t xml:space="preserve"> of </w:t>
    </w:r>
    <w:r w:rsidRPr="004A14EE">
      <w:rPr>
        <w:rStyle w:val="FootnoteTextChar"/>
        <w:sz w:val="18"/>
        <w:szCs w:val="18"/>
        <w:lang w:val="en-US"/>
      </w:rPr>
      <w:fldChar w:fldCharType="begin"/>
    </w:r>
    <w:r w:rsidRPr="004A14EE">
      <w:rPr>
        <w:rStyle w:val="FootnoteTextChar"/>
        <w:sz w:val="18"/>
        <w:szCs w:val="18"/>
        <w:lang w:val="en-US"/>
      </w:rPr>
      <w:instrText xml:space="preserve"> NUMPAGES </w:instrText>
    </w:r>
    <w:r w:rsidRPr="004A14EE">
      <w:rPr>
        <w:rStyle w:val="FootnoteTextChar"/>
        <w:sz w:val="18"/>
        <w:szCs w:val="18"/>
      </w:rPr>
      <w:fldChar w:fldCharType="separate"/>
    </w:r>
    <w:r w:rsidR="00F440D3">
      <w:rPr>
        <w:rStyle w:val="FootnoteTextChar"/>
        <w:noProof/>
        <w:sz w:val="18"/>
        <w:szCs w:val="18"/>
        <w:lang w:val="en-US"/>
      </w:rPr>
      <w:t>2</w:t>
    </w:r>
    <w:r w:rsidRPr="004A14EE">
      <w:rPr>
        <w:rStyle w:val="FootnoteTextChar"/>
        <w:sz w:val="18"/>
        <w:szCs w:val="18"/>
        <w:lang w:val="en-US"/>
      </w:rPr>
      <w:fldChar w:fldCharType="end"/>
    </w:r>
    <w:r w:rsidRPr="00DA5A1E">
      <w:rPr>
        <w:sz w:val="22"/>
        <w:szCs w:val="22"/>
      </w:rPr>
      <w:t xml:space="preserve"> </w:t>
    </w:r>
    <w:r>
      <w:rPr>
        <w:sz w:val="22"/>
        <w:szCs w:val="22"/>
      </w:rPr>
      <w:t xml:space="preserve"> </w:t>
    </w:r>
    <w:r w:rsidRPr="00DA5A1E">
      <w:rPr>
        <w:color w:val="FFDE00" w:themeColor="background2"/>
        <w:sz w:val="22"/>
        <w:szCs w:val="22"/>
      </w:rPr>
      <w:t>|</w:t>
    </w:r>
    <w:r w:rsidRPr="009E51B6">
      <w:t xml:space="preserve">  </w:t>
    </w:r>
    <w:r w:rsidR="001A59D0">
      <w:t>Assessment Guidelines: Tasmanian Sporting Hall of Fame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D923" w14:textId="702FE072" w:rsidR="0012475E" w:rsidRDefault="0012475E" w:rsidP="00A47E51">
    <w:pPr>
      <w:pStyle w:val="TasGovDepartmentName"/>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1131" w14:textId="77777777" w:rsidR="00C12B01" w:rsidRDefault="00C12B01" w:rsidP="00F420E2">
      <w:pPr>
        <w:spacing w:after="0" w:line="240" w:lineRule="auto"/>
      </w:pPr>
      <w:r>
        <w:separator/>
      </w:r>
    </w:p>
  </w:footnote>
  <w:footnote w:type="continuationSeparator" w:id="0">
    <w:p w14:paraId="40498B75" w14:textId="77777777" w:rsidR="00C12B01" w:rsidRDefault="00C12B0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CEF0" w14:textId="77777777" w:rsidR="0012475E" w:rsidRPr="00CA0D56" w:rsidRDefault="0012475E" w:rsidP="0012475E">
    <w:pPr>
      <w:pStyle w:val="Header"/>
      <w:spacing w:after="120"/>
      <w:jc w:val="center"/>
      <w:rPr>
        <w:b/>
        <w:color w:val="005996" w:themeColor="accent5"/>
        <w:sz w:val="32"/>
        <w:szCs w:val="32"/>
      </w:rPr>
    </w:pPr>
    <w:r w:rsidRPr="00CA0D56">
      <w:rPr>
        <w:b/>
        <w:color w:val="005996" w:themeColor="accent5"/>
        <w:sz w:val="32"/>
        <w:szCs w:val="32"/>
      </w:rPr>
      <w:t xml:space="preserve">THERE IS TOO MUCH TEXT OR CONTENT </w:t>
    </w:r>
    <w:r w:rsidRPr="00CA0D56">
      <w:rPr>
        <w:b/>
        <w:color w:val="005996" w:themeColor="accent5"/>
        <w:sz w:val="32"/>
        <w:szCs w:val="32"/>
      </w:rPr>
      <w:br/>
      <w:t>ON YOUR FIRST PAGE</w:t>
    </w:r>
  </w:p>
  <w:p w14:paraId="22DFAEA4" w14:textId="102EF826" w:rsidR="00A47E51" w:rsidRPr="0012475E" w:rsidRDefault="0012475E" w:rsidP="0012475E">
    <w:pPr>
      <w:pStyle w:val="Footer"/>
      <w:jc w:val="center"/>
    </w:pPr>
    <w:r w:rsidRPr="00CA0D56">
      <w:rPr>
        <w:rStyle w:val="FootnoteTextChar"/>
        <w:i/>
        <w:color w:val="005996" w:themeColor="accent5"/>
        <w:sz w:val="32"/>
        <w:szCs w:val="32"/>
        <w:lang w:val="en-US"/>
      </w:rPr>
      <w:t>IF YOU CAN SEE THIS TEXT, YOU MUST ADD A SECTION BREAK (NEXT PAGE) AT THE END OF THE LAST FULL PARAGRAPH ON THE FIRST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4061" w14:textId="74FF40D7" w:rsidR="00A47E51" w:rsidRDefault="00081512">
    <w:pPr>
      <w:pStyle w:val="Header"/>
    </w:pPr>
    <w:r>
      <w:rPr>
        <w:noProof/>
        <w:lang w:eastAsia="en-AU"/>
      </w:rPr>
      <w:drawing>
        <wp:anchor distT="0" distB="0" distL="114300" distR="114300" simplePos="0" relativeHeight="251659264" behindDoc="1" locked="0" layoutInCell="1" allowOverlap="1" wp14:anchorId="3160233F" wp14:editId="67202A05">
          <wp:simplePos x="0" y="0"/>
          <wp:positionH relativeFrom="column">
            <wp:posOffset>4363720</wp:posOffset>
          </wp:positionH>
          <wp:positionV relativeFrom="paragraph">
            <wp:posOffset>556133</wp:posOffset>
          </wp:positionV>
          <wp:extent cx="1953158" cy="2628237"/>
          <wp:effectExtent l="0" t="0" r="952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53158" cy="2628237"/>
                  </a:xfrm>
                  <a:prstGeom prst="rect">
                    <a:avLst/>
                  </a:prstGeom>
                </pic:spPr>
              </pic:pic>
            </a:graphicData>
          </a:graphic>
          <wp14:sizeRelH relativeFrom="margin">
            <wp14:pctWidth>0</wp14:pctWidth>
          </wp14:sizeRelH>
          <wp14:sizeRelV relativeFrom="margin">
            <wp14:pctHeight>0</wp14:pctHeight>
          </wp14:sizeRelV>
        </wp:anchor>
      </w:drawing>
    </w:r>
    <w:r w:rsidR="00A47E51">
      <w:rPr>
        <w:noProof/>
        <w:lang w:eastAsia="en-AU"/>
      </w:rPr>
      <w:drawing>
        <wp:anchor distT="0" distB="0" distL="114300" distR="114300" simplePos="0" relativeHeight="251657216" behindDoc="1" locked="1" layoutInCell="1" allowOverlap="1" wp14:anchorId="27F38D84" wp14:editId="1E748526">
          <wp:simplePos x="0" y="0"/>
          <wp:positionH relativeFrom="page">
            <wp:align>left</wp:align>
          </wp:positionH>
          <wp:positionV relativeFrom="page">
            <wp:align>top</wp:align>
          </wp:positionV>
          <wp:extent cx="7562850" cy="10690225"/>
          <wp:effectExtent l="0" t="0" r="0" b="0"/>
          <wp:wrapNone/>
          <wp:docPr id="3" name="Picture 3" descr="Decorative background image including Tasmanian Government logo." title="Tasmanian Government Logo and background ima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C-Orange-.png"/>
                  <pic:cNvPicPr/>
                </pic:nvPicPr>
                <pic:blipFill>
                  <a:blip r:embed="rId2">
                    <a:extLst>
                      <a:ext uri="{28A0092B-C50C-407E-A947-70E740481C1C}">
                        <a14:useLocalDpi xmlns:a14="http://schemas.microsoft.com/office/drawing/2010/main" val="0"/>
                      </a:ext>
                    </a:extLst>
                  </a:blip>
                  <a:stretch>
                    <a:fillRect/>
                  </a:stretch>
                </pic:blipFill>
                <pic:spPr>
                  <a:xfrm>
                    <a:off x="0" y="0"/>
                    <a:ext cx="7562850"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2B6E" w14:textId="10C3BC7F" w:rsidR="0012475E" w:rsidRPr="00A5368A" w:rsidRDefault="00A5368A" w:rsidP="00A5368A">
    <w:pPr>
      <w:pStyle w:val="Header"/>
    </w:pPr>
    <w:r>
      <w:rPr>
        <w:noProof/>
        <w:lang w:eastAsia="en-AU"/>
      </w:rPr>
      <w:drawing>
        <wp:anchor distT="0" distB="0" distL="114300" distR="114300" simplePos="0" relativeHeight="251661312" behindDoc="0" locked="0" layoutInCell="1" allowOverlap="1" wp14:anchorId="6DB1D73D" wp14:editId="5A9B3EC4">
          <wp:simplePos x="0" y="0"/>
          <wp:positionH relativeFrom="column">
            <wp:posOffset>4959985</wp:posOffset>
          </wp:positionH>
          <wp:positionV relativeFrom="paragraph">
            <wp:posOffset>-554605</wp:posOffset>
          </wp:positionV>
          <wp:extent cx="1993265" cy="1480820"/>
          <wp:effectExtent l="0" t="0" r="635" b="5080"/>
          <wp:wrapNone/>
          <wp:docPr id="6" name="Picture 6"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s_TopCorner.png"/>
                  <pic:cNvPicPr/>
                </pic:nvPicPr>
                <pic:blipFill>
                  <a:blip r:embed="rId1">
                    <a:extLst>
                      <a:ext uri="{28A0092B-C50C-407E-A947-70E740481C1C}">
                        <a14:useLocalDpi xmlns:a14="http://schemas.microsoft.com/office/drawing/2010/main" val="0"/>
                      </a:ext>
                    </a:extLst>
                  </a:blip>
                  <a:stretch>
                    <a:fillRect/>
                  </a:stretch>
                </pic:blipFill>
                <pic:spPr>
                  <a:xfrm>
                    <a:off x="0" y="0"/>
                    <a:ext cx="1993265" cy="148082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D8CC" w14:textId="148C94A9" w:rsidR="0012475E" w:rsidRDefault="00124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26A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7A45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9A9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3A8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D49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980F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CA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A5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A0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D2BB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5A5F7D"/>
    <w:multiLevelType w:val="hybridMultilevel"/>
    <w:tmpl w:val="EE5E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C6666"/>
    <w:multiLevelType w:val="hybridMultilevel"/>
    <w:tmpl w:val="42004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272BE"/>
    <w:multiLevelType w:val="hybridMultilevel"/>
    <w:tmpl w:val="63005B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71DBC"/>
    <w:multiLevelType w:val="hybridMultilevel"/>
    <w:tmpl w:val="D460EB48"/>
    <w:lvl w:ilvl="0" w:tplc="9AD0869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B330B2"/>
    <w:multiLevelType w:val="hybridMultilevel"/>
    <w:tmpl w:val="A75CF6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61790716">
    <w:abstractNumId w:val="10"/>
  </w:num>
  <w:num w:numId="2" w16cid:durableId="1029144393">
    <w:abstractNumId w:val="0"/>
  </w:num>
  <w:num w:numId="3" w16cid:durableId="1802920054">
    <w:abstractNumId w:val="1"/>
  </w:num>
  <w:num w:numId="4" w16cid:durableId="279650466">
    <w:abstractNumId w:val="2"/>
  </w:num>
  <w:num w:numId="5" w16cid:durableId="1334651454">
    <w:abstractNumId w:val="3"/>
  </w:num>
  <w:num w:numId="6" w16cid:durableId="1594708610">
    <w:abstractNumId w:val="8"/>
  </w:num>
  <w:num w:numId="7" w16cid:durableId="1896701530">
    <w:abstractNumId w:val="4"/>
  </w:num>
  <w:num w:numId="8" w16cid:durableId="46227806">
    <w:abstractNumId w:val="5"/>
  </w:num>
  <w:num w:numId="9" w16cid:durableId="95251020">
    <w:abstractNumId w:val="6"/>
  </w:num>
  <w:num w:numId="10" w16cid:durableId="778067734">
    <w:abstractNumId w:val="7"/>
  </w:num>
  <w:num w:numId="11" w16cid:durableId="581721404">
    <w:abstractNumId w:val="9"/>
  </w:num>
  <w:num w:numId="12" w16cid:durableId="458307851">
    <w:abstractNumId w:val="11"/>
  </w:num>
  <w:num w:numId="13" w16cid:durableId="909463933">
    <w:abstractNumId w:val="13"/>
  </w:num>
  <w:num w:numId="14" w16cid:durableId="123666617">
    <w:abstractNumId w:val="15"/>
  </w:num>
  <w:num w:numId="15" w16cid:durableId="47075752">
    <w:abstractNumId w:val="12"/>
  </w:num>
  <w:num w:numId="16" w16cid:durableId="1149515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158A7"/>
    <w:rsid w:val="0002351C"/>
    <w:rsid w:val="00033AA3"/>
    <w:rsid w:val="00044F6D"/>
    <w:rsid w:val="00081512"/>
    <w:rsid w:val="00090F2A"/>
    <w:rsid w:val="000B0108"/>
    <w:rsid w:val="000C3DA0"/>
    <w:rsid w:val="000D73E4"/>
    <w:rsid w:val="000E5162"/>
    <w:rsid w:val="000F20BA"/>
    <w:rsid w:val="0012426C"/>
    <w:rsid w:val="0012475E"/>
    <w:rsid w:val="0014223E"/>
    <w:rsid w:val="00174737"/>
    <w:rsid w:val="001A59D0"/>
    <w:rsid w:val="001C67D6"/>
    <w:rsid w:val="001D7158"/>
    <w:rsid w:val="00207597"/>
    <w:rsid w:val="002605C7"/>
    <w:rsid w:val="0026069D"/>
    <w:rsid w:val="002B144A"/>
    <w:rsid w:val="002D72E4"/>
    <w:rsid w:val="003532B3"/>
    <w:rsid w:val="00360F19"/>
    <w:rsid w:val="00374075"/>
    <w:rsid w:val="003B78B3"/>
    <w:rsid w:val="00430AC4"/>
    <w:rsid w:val="0043314F"/>
    <w:rsid w:val="00435A65"/>
    <w:rsid w:val="00436F63"/>
    <w:rsid w:val="004411AC"/>
    <w:rsid w:val="004568D4"/>
    <w:rsid w:val="004A14EE"/>
    <w:rsid w:val="004F4491"/>
    <w:rsid w:val="00500437"/>
    <w:rsid w:val="005221F3"/>
    <w:rsid w:val="00557271"/>
    <w:rsid w:val="00561FDE"/>
    <w:rsid w:val="005F02A4"/>
    <w:rsid w:val="006043D9"/>
    <w:rsid w:val="00620B2E"/>
    <w:rsid w:val="00643D61"/>
    <w:rsid w:val="00692624"/>
    <w:rsid w:val="006954A3"/>
    <w:rsid w:val="006D31AA"/>
    <w:rsid w:val="006F4E53"/>
    <w:rsid w:val="00700959"/>
    <w:rsid w:val="00702C77"/>
    <w:rsid w:val="00744841"/>
    <w:rsid w:val="00786805"/>
    <w:rsid w:val="0079023D"/>
    <w:rsid w:val="0079434F"/>
    <w:rsid w:val="007A158D"/>
    <w:rsid w:val="007B207F"/>
    <w:rsid w:val="007C6E49"/>
    <w:rsid w:val="007D56C6"/>
    <w:rsid w:val="00851719"/>
    <w:rsid w:val="00852F72"/>
    <w:rsid w:val="008A0C04"/>
    <w:rsid w:val="008B54F5"/>
    <w:rsid w:val="008B702B"/>
    <w:rsid w:val="008D0D52"/>
    <w:rsid w:val="008D2FB8"/>
    <w:rsid w:val="008D40B1"/>
    <w:rsid w:val="008E1BEE"/>
    <w:rsid w:val="008E4732"/>
    <w:rsid w:val="008F4C51"/>
    <w:rsid w:val="00912BEF"/>
    <w:rsid w:val="00912EDC"/>
    <w:rsid w:val="009259E8"/>
    <w:rsid w:val="00936443"/>
    <w:rsid w:val="0099628C"/>
    <w:rsid w:val="009A2FAB"/>
    <w:rsid w:val="009A639E"/>
    <w:rsid w:val="009D1E6D"/>
    <w:rsid w:val="00A47E51"/>
    <w:rsid w:val="00A5368A"/>
    <w:rsid w:val="00AA6DBD"/>
    <w:rsid w:val="00AB66FF"/>
    <w:rsid w:val="00B34B0C"/>
    <w:rsid w:val="00B45435"/>
    <w:rsid w:val="00B518E3"/>
    <w:rsid w:val="00B60298"/>
    <w:rsid w:val="00C12B01"/>
    <w:rsid w:val="00CD13C8"/>
    <w:rsid w:val="00D10831"/>
    <w:rsid w:val="00D41459"/>
    <w:rsid w:val="00D67F99"/>
    <w:rsid w:val="00DA058E"/>
    <w:rsid w:val="00DA5A1E"/>
    <w:rsid w:val="00DC43B7"/>
    <w:rsid w:val="00DE0B49"/>
    <w:rsid w:val="00E163EF"/>
    <w:rsid w:val="00E40C70"/>
    <w:rsid w:val="00E47A2F"/>
    <w:rsid w:val="00E96DD4"/>
    <w:rsid w:val="00EA58C4"/>
    <w:rsid w:val="00F00FD4"/>
    <w:rsid w:val="00F420E2"/>
    <w:rsid w:val="00F440D3"/>
    <w:rsid w:val="00FE0BA5"/>
    <w:rsid w:val="00FE0C2D"/>
    <w:rsid w:val="00FE4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579EE4FC"/>
  <w14:defaultImageDpi w14:val="32767"/>
  <w15:docId w15:val="{44F9B80F-7B4E-4E47-A615-5B91B0FB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EE"/>
    <w:pPr>
      <w:spacing w:after="140" w:line="300" w:lineRule="exac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26069D"/>
    <w:pPr>
      <w:keepNext/>
      <w:keepLines/>
      <w:spacing w:before="280" w:line="240" w:lineRule="auto"/>
      <w:contextualSpacing/>
      <w:outlineLvl w:val="1"/>
    </w:pPr>
    <w:rPr>
      <w:rFonts w:asciiTheme="majorHAnsi" w:eastAsiaTheme="majorEastAsia" w:hAnsiTheme="majorHAnsi" w:cstheme="majorBidi"/>
      <w:b/>
      <w:color w:val="2C6429" w:themeColor="text2" w:themeShade="80"/>
      <w:sz w:val="40"/>
      <w:szCs w:val="26"/>
    </w:rPr>
  </w:style>
  <w:style w:type="paragraph" w:styleId="Heading3">
    <w:name w:val="heading 3"/>
    <w:basedOn w:val="Normal"/>
    <w:next w:val="Normal"/>
    <w:link w:val="Heading3Char"/>
    <w:uiPriority w:val="9"/>
    <w:unhideWhenUsed/>
    <w:qFormat/>
    <w:rsid w:val="0026069D"/>
    <w:pPr>
      <w:keepNext/>
      <w:keepLines/>
      <w:spacing w:before="280" w:line="240" w:lineRule="auto"/>
      <w:outlineLvl w:val="2"/>
    </w:pPr>
    <w:rPr>
      <w:rFonts w:asciiTheme="majorHAnsi" w:eastAsiaTheme="majorEastAsia" w:hAnsiTheme="majorHAnsi" w:cstheme="majorBidi"/>
      <w:b/>
      <w:color w:val="2C6429" w:themeColor="text2" w:themeShade="80"/>
      <w:sz w:val="32"/>
    </w:rPr>
  </w:style>
  <w:style w:type="paragraph" w:styleId="Heading4">
    <w:name w:val="heading 4"/>
    <w:basedOn w:val="Normal"/>
    <w:next w:val="Normal"/>
    <w:link w:val="Heading4Char"/>
    <w:uiPriority w:val="9"/>
    <w:unhideWhenUsed/>
    <w:qFormat/>
    <w:rsid w:val="00AA6DBD"/>
    <w:pPr>
      <w:keepNext/>
      <w:keepLines/>
      <w:spacing w:before="280" w:line="240" w:lineRule="auto"/>
      <w:outlineLvl w:val="3"/>
    </w:pPr>
    <w:rPr>
      <w:rFonts w:asciiTheme="majorHAnsi" w:eastAsiaTheme="majorEastAsia" w:hAnsiTheme="majorHAnsi" w:cs="Times New Roman (Headings CS)"/>
      <w:b/>
      <w:iCs/>
      <w:color w:val="000000" w:themeColor="text1"/>
      <w:sz w:val="28"/>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B2E"/>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620B2E"/>
    <w:rPr>
      <w:rFonts w:asciiTheme="majorHAnsi" w:eastAsiaTheme="majorEastAsia" w:hAnsiTheme="majorHAnsi" w:cstheme="majorBidi"/>
      <w:b/>
      <w:spacing w:val="-10"/>
      <w:kern w:val="28"/>
      <w:sz w:val="76"/>
      <w:szCs w:val="7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uiPriority w:val="34"/>
    <w:qFormat/>
    <w:rsid w:val="002D72E4"/>
    <w:pPr>
      <w:tabs>
        <w:tab w:val="left" w:pos="567"/>
        <w:tab w:val="left" w:pos="1134"/>
        <w:tab w:val="left" w:pos="1701"/>
      </w:tabs>
      <w:contextualSpacing/>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26069D"/>
    <w:rPr>
      <w:rFonts w:asciiTheme="majorHAnsi" w:eastAsiaTheme="majorEastAsia" w:hAnsiTheme="majorHAnsi" w:cstheme="majorBidi"/>
      <w:b/>
      <w:color w:val="2C6429" w:themeColor="text2" w:themeShade="80"/>
      <w:sz w:val="40"/>
      <w:szCs w:val="26"/>
      <w:lang w:val="en-AU"/>
    </w:rPr>
  </w:style>
  <w:style w:type="character" w:customStyle="1" w:styleId="Heading3Char">
    <w:name w:val="Heading 3 Char"/>
    <w:basedOn w:val="DefaultParagraphFont"/>
    <w:link w:val="Heading3"/>
    <w:uiPriority w:val="9"/>
    <w:rsid w:val="0026069D"/>
    <w:rPr>
      <w:rFonts w:asciiTheme="majorHAnsi" w:eastAsiaTheme="majorEastAsia" w:hAnsiTheme="majorHAnsi" w:cstheme="majorBidi"/>
      <w:b/>
      <w:color w:val="2C6429" w:themeColor="text2" w:themeShade="80"/>
      <w:sz w:val="32"/>
      <w:lang w:val="en-AU"/>
    </w:rPr>
  </w:style>
  <w:style w:type="character" w:customStyle="1" w:styleId="Heading4Char">
    <w:name w:val="Heading 4 Char"/>
    <w:basedOn w:val="DefaultParagraphFont"/>
    <w:link w:val="Heading4"/>
    <w:uiPriority w:val="9"/>
    <w:rsid w:val="00AA6DBD"/>
    <w:rPr>
      <w:rFonts w:asciiTheme="majorHAnsi" w:eastAsiaTheme="majorEastAsia" w:hAnsiTheme="majorHAnsi" w:cs="Times New Roman (Headings CS)"/>
      <w:b/>
      <w:iCs/>
      <w:color w:val="000000" w:themeColor="text1"/>
      <w:sz w:val="28"/>
      <w:lang w:val="en-AU"/>
    </w:rPr>
  </w:style>
  <w:style w:type="paragraph" w:styleId="Quote">
    <w:name w:val="Quote"/>
    <w:aliases w:val="Intro Text"/>
    <w:basedOn w:val="Normal"/>
    <w:next w:val="Normal"/>
    <w:link w:val="QuoteChar"/>
    <w:uiPriority w:val="29"/>
    <w:qFormat/>
    <w:rsid w:val="0026069D"/>
    <w:pPr>
      <w:spacing w:before="280" w:line="240" w:lineRule="auto"/>
    </w:pPr>
    <w:rPr>
      <w:i/>
      <w:iCs/>
      <w:color w:val="2C6429" w:themeColor="text2" w:themeShade="80"/>
      <w:sz w:val="32"/>
    </w:rPr>
  </w:style>
  <w:style w:type="character" w:customStyle="1" w:styleId="QuoteChar">
    <w:name w:val="Quote Char"/>
    <w:aliases w:val="Intro Text Char"/>
    <w:basedOn w:val="DefaultParagraphFont"/>
    <w:link w:val="Quote"/>
    <w:uiPriority w:val="29"/>
    <w:rsid w:val="0026069D"/>
    <w:rPr>
      <w:rFonts w:cs="Times New Roman (Body CS)"/>
      <w:i/>
      <w:iCs/>
      <w:color w:val="2C6429" w:themeColor="text2" w:themeShade="80"/>
      <w:sz w:val="32"/>
      <w:lang w:val="en-AU"/>
    </w:rPr>
  </w:style>
  <w:style w:type="paragraph" w:styleId="IntenseQuote">
    <w:name w:val="Intense Quote"/>
    <w:aliases w:val="Pullout quote"/>
    <w:basedOn w:val="Normal"/>
    <w:next w:val="Normal"/>
    <w:link w:val="IntenseQuoteChar"/>
    <w:uiPriority w:val="30"/>
    <w:qFormat/>
    <w:rsid w:val="0026069D"/>
    <w:pPr>
      <w:pBdr>
        <w:top w:val="single" w:sz="4" w:space="7" w:color="2C6429" w:themeColor="text2" w:themeShade="80"/>
        <w:bottom w:val="single" w:sz="4" w:space="7" w:color="2C6429" w:themeColor="text2" w:themeShade="80"/>
      </w:pBdr>
      <w:spacing w:before="200" w:after="200" w:line="360" w:lineRule="exact"/>
      <w:jc w:val="center"/>
    </w:pPr>
    <w:rPr>
      <w:i/>
      <w:iCs/>
      <w:color w:val="2C6429" w:themeColor="text2" w:themeShade="80"/>
      <w:sz w:val="24"/>
    </w:rPr>
  </w:style>
  <w:style w:type="character" w:customStyle="1" w:styleId="IntenseQuoteChar">
    <w:name w:val="Intense Quote Char"/>
    <w:aliases w:val="Pullout quote Char"/>
    <w:basedOn w:val="DefaultParagraphFont"/>
    <w:link w:val="IntenseQuote"/>
    <w:uiPriority w:val="30"/>
    <w:rsid w:val="0026069D"/>
    <w:rPr>
      <w:rFonts w:cs="Times New Roman (Body CS)"/>
      <w:i/>
      <w:iCs/>
      <w:color w:val="2C6429" w:themeColor="text2" w:themeShade="80"/>
      <w:lang w:val="en-AU"/>
    </w:rPr>
  </w:style>
  <w:style w:type="paragraph" w:customStyle="1" w:styleId="TasGovDepartmentName">
    <w:name w:val="TasGov Department Name"/>
    <w:basedOn w:val="Normal"/>
    <w:qFormat/>
    <w:rsid w:val="004F4491"/>
    <w:rPr>
      <w:spacing w:val="30"/>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26069D"/>
    <w:rPr>
      <w:i/>
      <w:iCs/>
      <w:color w:val="2C6429" w:themeColor="text2" w:themeShade="80"/>
    </w:rPr>
  </w:style>
  <w:style w:type="character" w:styleId="IntenseReference">
    <w:name w:val="Intense Reference"/>
    <w:basedOn w:val="DefaultParagraphFont"/>
    <w:uiPriority w:val="32"/>
    <w:qFormat/>
    <w:rsid w:val="0026069D"/>
    <w:rPr>
      <w:b/>
      <w:bCs/>
      <w:smallCaps/>
      <w:color w:val="2C6429" w:themeColor="text2" w:themeShade="80"/>
      <w:spacing w:val="5"/>
    </w:rPr>
  </w:style>
  <w:style w:type="character" w:customStyle="1" w:styleId="Heading6Char">
    <w:name w:val="Heading 6 Char"/>
    <w:basedOn w:val="DefaultParagraphFont"/>
    <w:link w:val="Heading6"/>
    <w:uiPriority w:val="9"/>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CE362F" w:themeColor="accent1"/>
        <w:left w:val="single" w:sz="2" w:space="10" w:color="CE362F" w:themeColor="accent1"/>
        <w:bottom w:val="single" w:sz="2" w:space="10" w:color="CE362F" w:themeColor="accent1"/>
        <w:right w:val="single" w:sz="2" w:space="10" w:color="CE362F"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4C4C4C"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999999" w:themeColor="followedHyperlink"/>
      <w:u w:val="single"/>
    </w:rPr>
  </w:style>
  <w:style w:type="paragraph" w:customStyle="1" w:styleId="NoParagraphStyle">
    <w:name w:val="[No Paragraph Style]"/>
    <w:rsid w:val="00A47E51"/>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H1">
    <w:name w:val="H1"/>
    <w:basedOn w:val="NoParagraphStyle"/>
    <w:uiPriority w:val="99"/>
    <w:rsid w:val="00A47E51"/>
    <w:pPr>
      <w:suppressAutoHyphens/>
      <w:spacing w:line="640" w:lineRule="atLeast"/>
    </w:pPr>
    <w:rPr>
      <w:rFonts w:ascii="GillSansMTPro-Medium" w:hAnsi="GillSansMTPro-Medium" w:cs="GillSansMTPro-Medium"/>
      <w:sz w:val="60"/>
      <w:szCs w:val="60"/>
    </w:rPr>
  </w:style>
  <w:style w:type="paragraph" w:customStyle="1" w:styleId="ParagraphStyle1">
    <w:name w:val="Paragraph Style 1"/>
    <w:basedOn w:val="Normal"/>
    <w:uiPriority w:val="99"/>
    <w:rsid w:val="00081512"/>
    <w:pPr>
      <w:suppressAutoHyphens/>
      <w:autoSpaceDE w:val="0"/>
      <w:autoSpaceDN w:val="0"/>
      <w:adjustRightInd w:val="0"/>
      <w:spacing w:after="0" w:line="288" w:lineRule="auto"/>
      <w:textAlignment w:val="center"/>
    </w:pPr>
    <w:rPr>
      <w:rFonts w:ascii="GillSansMTPro-MediumItalic" w:hAnsi="GillSansMTPro-MediumItalic" w:cs="GillSansMTPro-MediumItalic"/>
      <w:i/>
      <w:iCs/>
      <w:color w:val="CC2E24"/>
      <w:sz w:val="32"/>
      <w:szCs w:val="32"/>
      <w:lang w:val="en-GB"/>
    </w:rPr>
  </w:style>
  <w:style w:type="paragraph" w:customStyle="1" w:styleId="body">
    <w:name w:val="body"/>
    <w:basedOn w:val="NoParagraphStyle"/>
    <w:uiPriority w:val="99"/>
    <w:rsid w:val="00081512"/>
    <w:pPr>
      <w:suppressAutoHyphens/>
      <w:spacing w:after="170"/>
    </w:pPr>
    <w:rPr>
      <w:rFonts w:ascii="GillSansMTPro-Medium" w:hAnsi="GillSansMTPro-Medium" w:cs="GillSansMTPro-Medium"/>
      <w:sz w:val="22"/>
      <w:szCs w:val="22"/>
    </w:rPr>
  </w:style>
  <w:style w:type="paragraph" w:customStyle="1" w:styleId="DocumentType">
    <w:name w:val="Document Type"/>
    <w:basedOn w:val="Normal"/>
    <w:qFormat/>
    <w:rsid w:val="0026069D"/>
    <w:pPr>
      <w:spacing w:before="1800"/>
    </w:pPr>
    <w:rPr>
      <w:b/>
      <w:caps/>
      <w:color w:val="2C6429" w:themeColor="text2" w:themeShade="80"/>
      <w:sz w:val="28"/>
      <w:szCs w:val="28"/>
    </w:rPr>
  </w:style>
  <w:style w:type="paragraph" w:styleId="BalloonText">
    <w:name w:val="Balloon Text"/>
    <w:basedOn w:val="Normal"/>
    <w:link w:val="BalloonTextChar"/>
    <w:uiPriority w:val="99"/>
    <w:semiHidden/>
    <w:unhideWhenUsed/>
    <w:rsid w:val="00D67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F99"/>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OC-Green">
      <a:dk1>
        <a:srgbClr val="000000"/>
      </a:dk1>
      <a:lt1>
        <a:srgbClr val="FFFFFF"/>
      </a:lt1>
      <a:dk2>
        <a:srgbClr val="63BD5E"/>
      </a:dk2>
      <a:lt2>
        <a:srgbClr val="FFDE00"/>
      </a:lt2>
      <a:accent1>
        <a:srgbClr val="CE362F"/>
      </a:accent1>
      <a:accent2>
        <a:srgbClr val="F37F20"/>
      </a:accent2>
      <a:accent3>
        <a:srgbClr val="70004B"/>
      </a:accent3>
      <a:accent4>
        <a:srgbClr val="54427E"/>
      </a:accent4>
      <a:accent5>
        <a:srgbClr val="005996"/>
      </a:accent5>
      <a:accent6>
        <a:srgbClr val="ABA137"/>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D01BD-15D6-4EE6-A761-1EC9790F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817</Words>
  <Characters>4453</Characters>
  <Application>Microsoft Office Word</Application>
  <DocSecurity>0</DocSecurity>
  <Lines>92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Gillow, Brett</cp:lastModifiedBy>
  <cp:revision>4</cp:revision>
  <cp:lastPrinted>2025-06-20T02:54:00Z</cp:lastPrinted>
  <dcterms:created xsi:type="dcterms:W3CDTF">2025-06-20T02:36:00Z</dcterms:created>
  <dcterms:modified xsi:type="dcterms:W3CDTF">2025-06-20T02:56:00Z</dcterms:modified>
</cp:coreProperties>
</file>